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B003F" w:rsidP="006B003F">
      <w:pPr>
        <w:pStyle w:val="BodyText"/>
        <w:spacing w:after="240"/>
        <w:rPr>
          <w:rFonts w:ascii="Arial Black" w:hAnsi="Arial Black" w:cs="Arial"/>
          <w:sz w:val="36"/>
          <w:szCs w:val="36"/>
        </w:rPr>
      </w:pPr>
      <w:r w:rsidRPr="006B003F">
        <w:rPr>
          <w:rFonts w:ascii="Arial Black" w:hAnsi="Arial Black" w:cs="Arial"/>
          <w:sz w:val="36"/>
          <w:szCs w:val="36"/>
        </w:rPr>
        <w:t xml:space="preserve">Conbextra </w:t>
      </w:r>
      <w:r w:rsidR="009B6A16">
        <w:rPr>
          <w:rFonts w:ascii="Arial Black" w:hAnsi="Arial Black" w:cs="Arial"/>
          <w:sz w:val="36"/>
          <w:szCs w:val="36"/>
        </w:rPr>
        <w:t>EP</w:t>
      </w:r>
      <w:r w:rsidR="00A17FD3">
        <w:rPr>
          <w:rFonts w:ascii="Arial Black" w:hAnsi="Arial Black" w:cs="Arial"/>
          <w:sz w:val="36"/>
          <w:szCs w:val="36"/>
        </w:rPr>
        <w:t>300 DP</w:t>
      </w:r>
      <w:r w:rsidRPr="006B003F">
        <w:rPr>
          <w:rFonts w:ascii="Arial Black" w:hAnsi="Arial Black" w:cs="Arial"/>
          <w:sz w:val="36"/>
          <w:szCs w:val="36"/>
        </w:rPr>
        <w:t xml:space="preserve"> </w:t>
      </w:r>
    </w:p>
    <w:p w:rsidR="009B6A16" w:rsidRPr="00152B71" w:rsidRDefault="00152B71" w:rsidP="009B6A16">
      <w:pPr>
        <w:autoSpaceDE w:val="0"/>
        <w:autoSpaceDN w:val="0"/>
        <w:adjustRightInd w:val="0"/>
        <w:spacing w:after="240" w:line="240" w:lineRule="auto"/>
        <w:rPr>
          <w:rFonts w:ascii="Arial" w:hAnsi="Arial" w:cs="Arial"/>
          <w:b/>
          <w:sz w:val="20"/>
          <w:szCs w:val="20"/>
        </w:rPr>
      </w:pPr>
      <w:r w:rsidRPr="00152B71">
        <w:rPr>
          <w:rFonts w:ascii="Arial" w:hAnsi="Arial" w:cs="Arial"/>
          <w:b/>
          <w:sz w:val="20"/>
          <w:szCs w:val="20"/>
        </w:rPr>
        <w:t>High strength, flowable, low exotherm, three</w:t>
      </w:r>
      <w:r>
        <w:rPr>
          <w:rFonts w:ascii="Arial" w:hAnsi="Arial" w:cs="Arial"/>
          <w:b/>
          <w:sz w:val="20"/>
          <w:szCs w:val="20"/>
        </w:rPr>
        <w:t>-</w:t>
      </w:r>
      <w:r w:rsidRPr="00152B71">
        <w:rPr>
          <w:rFonts w:ascii="Arial" w:hAnsi="Arial" w:cs="Arial"/>
          <w:b/>
          <w:sz w:val="20"/>
          <w:szCs w:val="20"/>
        </w:rPr>
        <w:t xml:space="preserve">part epoxy resin grout for large volume pours in dynamic / repetitive load applications </w:t>
      </w:r>
      <w:r>
        <w:rPr>
          <w:rFonts w:ascii="Arial" w:hAnsi="Arial" w:cs="Arial"/>
          <w:b/>
          <w:sz w:val="20"/>
          <w:szCs w:val="20"/>
        </w:rPr>
        <w:t xml:space="preserve">- </w:t>
      </w:r>
      <w:r w:rsidRPr="00152B71">
        <w:rPr>
          <w:rFonts w:ascii="Arial" w:hAnsi="Arial" w:cs="Arial"/>
          <w:b/>
          <w:sz w:val="20"/>
          <w:szCs w:val="20"/>
        </w:rPr>
        <w:t>gaps up to 300mm</w:t>
      </w:r>
    </w:p>
    <w:p w:rsidR="006B003F" w:rsidRPr="006B003F" w:rsidRDefault="006B003F" w:rsidP="006B003F">
      <w:pPr>
        <w:spacing w:after="0"/>
        <w:rPr>
          <w:rFonts w:ascii="Arial" w:hAnsi="Arial" w:cs="Arial"/>
          <w:b/>
          <w:sz w:val="18"/>
          <w:szCs w:val="18"/>
          <w:lang w:val="en-GB"/>
        </w:rPr>
      </w:pPr>
      <w:r w:rsidRPr="006B003F">
        <w:rPr>
          <w:rFonts w:ascii="Arial" w:hAnsi="Arial" w:cs="Arial"/>
          <w:b/>
          <w:sz w:val="18"/>
          <w:szCs w:val="18"/>
          <w:lang w:val="en-GB"/>
        </w:rPr>
        <w:t xml:space="preserve">1.0 </w:t>
      </w:r>
      <w:r w:rsidRPr="006B003F">
        <w:rPr>
          <w:rFonts w:ascii="Arial" w:hAnsi="Arial" w:cs="Arial"/>
          <w:b/>
          <w:sz w:val="18"/>
          <w:szCs w:val="18"/>
          <w:lang w:val="en-GB"/>
        </w:rPr>
        <w:tab/>
        <w:t>Grouting Requirements</w:t>
      </w:r>
    </w:p>
    <w:p w:rsidR="006B003F" w:rsidRPr="006B003F" w:rsidRDefault="006B003F" w:rsidP="006B003F">
      <w:pPr>
        <w:spacing w:after="0"/>
        <w:rPr>
          <w:rFonts w:ascii="Arial" w:hAnsi="Arial" w:cs="Arial"/>
          <w:b/>
          <w:sz w:val="18"/>
          <w:szCs w:val="18"/>
          <w:lang w:val="en-GB"/>
        </w:rPr>
      </w:pPr>
    </w:p>
    <w:p w:rsidR="00152B71" w:rsidRPr="00152B71" w:rsidRDefault="00A17FD3" w:rsidP="00152B71">
      <w:pPr>
        <w:numPr>
          <w:ilvl w:val="1"/>
          <w:numId w:val="1"/>
        </w:numPr>
        <w:spacing w:after="0" w:line="240" w:lineRule="auto"/>
        <w:rPr>
          <w:rFonts w:ascii="Arial" w:hAnsi="Arial" w:cs="Arial"/>
          <w:sz w:val="18"/>
          <w:szCs w:val="18"/>
          <w:lang w:val="en-GB"/>
        </w:rPr>
      </w:pPr>
      <w:r w:rsidRPr="00152B71">
        <w:rPr>
          <w:rFonts w:ascii="Arial" w:hAnsi="Arial" w:cs="Arial"/>
          <w:sz w:val="18"/>
          <w:szCs w:val="18"/>
          <w:lang w:val="en-GB"/>
        </w:rPr>
        <w:tab/>
      </w:r>
      <w:r w:rsidR="00152B71" w:rsidRPr="00152B71">
        <w:rPr>
          <w:rFonts w:ascii="Arial" w:hAnsi="Arial" w:cs="Arial"/>
          <w:sz w:val="18"/>
          <w:szCs w:val="18"/>
          <w:lang w:val="en-GB"/>
        </w:rPr>
        <w:t xml:space="preserve">To the nominated area(s) (specify details and areas of application), grouting must be carried out using a </w:t>
      </w:r>
      <w:r w:rsidR="00152B71">
        <w:rPr>
          <w:rFonts w:ascii="Arial" w:hAnsi="Arial" w:cs="Arial"/>
          <w:sz w:val="18"/>
          <w:szCs w:val="18"/>
          <w:lang w:val="en-GB"/>
        </w:rPr>
        <w:tab/>
      </w:r>
      <w:r w:rsidR="00152B71" w:rsidRPr="00152B71">
        <w:rPr>
          <w:rFonts w:ascii="Arial" w:hAnsi="Arial" w:cs="Arial"/>
          <w:sz w:val="18"/>
          <w:szCs w:val="18"/>
          <w:lang w:val="en-GB"/>
        </w:rPr>
        <w:t xml:space="preserve">high strength, flowable, low exotherm, epoxy resin grout, suitable for dynamic /repetitive load </w:t>
      </w:r>
      <w:r w:rsidR="00152B71">
        <w:rPr>
          <w:rFonts w:ascii="Arial" w:hAnsi="Arial" w:cs="Arial"/>
          <w:sz w:val="18"/>
          <w:szCs w:val="18"/>
          <w:lang w:val="en-GB"/>
        </w:rPr>
        <w:tab/>
      </w:r>
      <w:r w:rsidR="00152B71" w:rsidRPr="00152B71">
        <w:rPr>
          <w:rFonts w:ascii="Arial" w:hAnsi="Arial" w:cs="Arial"/>
          <w:sz w:val="18"/>
          <w:szCs w:val="18"/>
          <w:lang w:val="en-GB"/>
        </w:rPr>
        <w:t>applications, and suitable for grouting gaps up to 300mm.</w:t>
      </w:r>
    </w:p>
    <w:p w:rsidR="00152B71" w:rsidRPr="00152B71" w:rsidRDefault="00152B71" w:rsidP="00152B71">
      <w:pPr>
        <w:spacing w:after="0" w:line="240" w:lineRule="auto"/>
        <w:rPr>
          <w:rFonts w:ascii="Arial" w:hAnsi="Arial" w:cs="Arial"/>
          <w:sz w:val="18"/>
          <w:szCs w:val="18"/>
          <w:lang w:val="en-GB"/>
        </w:rPr>
      </w:pPr>
    </w:p>
    <w:p w:rsidR="00152B71" w:rsidRPr="00152B71" w:rsidRDefault="00152B71" w:rsidP="00152B71">
      <w:pPr>
        <w:numPr>
          <w:ilvl w:val="1"/>
          <w:numId w:val="1"/>
        </w:numPr>
        <w:spacing w:after="0" w:line="240" w:lineRule="auto"/>
        <w:rPr>
          <w:rFonts w:ascii="Arial" w:hAnsi="Arial" w:cs="Arial"/>
          <w:sz w:val="18"/>
          <w:szCs w:val="18"/>
          <w:lang w:val="en-GB"/>
        </w:rPr>
      </w:pPr>
      <w:r>
        <w:rPr>
          <w:rFonts w:ascii="Arial" w:hAnsi="Arial" w:cs="Arial"/>
          <w:sz w:val="18"/>
          <w:szCs w:val="18"/>
          <w:lang w:val="en-GB"/>
        </w:rPr>
        <w:tab/>
      </w:r>
      <w:r w:rsidRPr="00152B71">
        <w:rPr>
          <w:rFonts w:ascii="Arial" w:hAnsi="Arial" w:cs="Arial"/>
          <w:sz w:val="18"/>
          <w:szCs w:val="18"/>
          <w:lang w:val="en-GB"/>
        </w:rPr>
        <w:t>The three</w:t>
      </w:r>
      <w:r>
        <w:rPr>
          <w:rFonts w:ascii="Arial" w:hAnsi="Arial" w:cs="Arial"/>
          <w:sz w:val="18"/>
          <w:szCs w:val="18"/>
          <w:lang w:val="en-GB"/>
        </w:rPr>
        <w:t>-</w:t>
      </w:r>
      <w:r w:rsidRPr="00152B71">
        <w:rPr>
          <w:rFonts w:ascii="Arial" w:hAnsi="Arial" w:cs="Arial"/>
          <w:sz w:val="18"/>
          <w:szCs w:val="18"/>
          <w:lang w:val="en-GB"/>
        </w:rPr>
        <w:t xml:space="preserve">component pack is to be stored, handled and placed, strictly in accordance with the </w:t>
      </w:r>
      <w:r>
        <w:rPr>
          <w:rFonts w:ascii="Arial" w:hAnsi="Arial" w:cs="Arial"/>
          <w:sz w:val="18"/>
          <w:szCs w:val="18"/>
          <w:lang w:val="en-GB"/>
        </w:rPr>
        <w:tab/>
      </w:r>
      <w:r w:rsidRPr="00152B71">
        <w:rPr>
          <w:rFonts w:ascii="Arial" w:hAnsi="Arial" w:cs="Arial"/>
          <w:sz w:val="18"/>
          <w:szCs w:val="18"/>
          <w:lang w:val="en-GB"/>
        </w:rPr>
        <w:t xml:space="preserve">manufacturer’s current technical data sheet and instructions. </w:t>
      </w:r>
    </w:p>
    <w:p w:rsidR="00152B71" w:rsidRPr="00152B71" w:rsidRDefault="00152B71" w:rsidP="00152B71">
      <w:pPr>
        <w:spacing w:after="0" w:line="240" w:lineRule="auto"/>
        <w:rPr>
          <w:rFonts w:ascii="Arial" w:hAnsi="Arial" w:cs="Arial"/>
          <w:sz w:val="18"/>
          <w:szCs w:val="18"/>
          <w:lang w:val="en-GB"/>
        </w:rPr>
      </w:pPr>
    </w:p>
    <w:p w:rsidR="00152B71" w:rsidRPr="00152B71" w:rsidRDefault="00152B71" w:rsidP="00152B71">
      <w:pPr>
        <w:numPr>
          <w:ilvl w:val="1"/>
          <w:numId w:val="1"/>
        </w:numPr>
        <w:spacing w:after="0" w:line="240" w:lineRule="auto"/>
        <w:rPr>
          <w:rFonts w:ascii="Arial" w:hAnsi="Arial" w:cs="Arial"/>
          <w:sz w:val="18"/>
          <w:szCs w:val="18"/>
          <w:lang w:val="en-GB"/>
        </w:rPr>
      </w:pPr>
      <w:r>
        <w:rPr>
          <w:rFonts w:ascii="Arial" w:hAnsi="Arial" w:cs="Arial"/>
          <w:sz w:val="18"/>
          <w:szCs w:val="18"/>
          <w:lang w:val="en-GB"/>
        </w:rPr>
        <w:tab/>
      </w:r>
      <w:r w:rsidRPr="00152B71">
        <w:rPr>
          <w:rFonts w:ascii="Arial" w:hAnsi="Arial" w:cs="Arial"/>
          <w:sz w:val="18"/>
          <w:szCs w:val="18"/>
          <w:lang w:val="en-GB"/>
        </w:rPr>
        <w:t>The hardened epoxy resin grout shall exhibit the following properties at 23</w:t>
      </w:r>
      <w:r w:rsidRPr="00152B71">
        <w:rPr>
          <w:rFonts w:ascii="Arial" w:hAnsi="Arial" w:cs="Arial"/>
          <w:sz w:val="18"/>
          <w:szCs w:val="18"/>
          <w:vertAlign w:val="superscript"/>
          <w:lang w:val="en-GB"/>
        </w:rPr>
        <w:t>o</w:t>
      </w:r>
      <w:r w:rsidRPr="00152B71">
        <w:rPr>
          <w:rFonts w:ascii="Arial" w:hAnsi="Arial" w:cs="Arial"/>
          <w:sz w:val="18"/>
          <w:szCs w:val="18"/>
          <w:lang w:val="en-GB"/>
        </w:rPr>
        <w:t xml:space="preserve">C: </w:t>
      </w:r>
    </w:p>
    <w:p w:rsidR="00152B71" w:rsidRPr="00152B71" w:rsidRDefault="00152B71" w:rsidP="00152B71">
      <w:pPr>
        <w:spacing w:after="0" w:line="240" w:lineRule="auto"/>
        <w:rPr>
          <w:rFonts w:ascii="Arial" w:hAnsi="Arial" w:cs="Arial"/>
          <w:sz w:val="18"/>
          <w:szCs w:val="18"/>
          <w:lang w:val="en-GB"/>
        </w:rPr>
      </w:pPr>
      <w:r w:rsidRPr="00152B71">
        <w:rPr>
          <w:rFonts w:ascii="Arial" w:hAnsi="Arial" w:cs="Arial"/>
          <w:sz w:val="18"/>
          <w:szCs w:val="18"/>
          <w:lang w:val="en-GB"/>
        </w:rPr>
        <w:tab/>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552"/>
      </w:tblGrid>
      <w:tr w:rsidR="00152B71" w:rsidRPr="00152B71" w:rsidTr="00152B71">
        <w:tc>
          <w:tcPr>
            <w:tcW w:w="3998" w:type="dxa"/>
            <w:vMerge w:val="restart"/>
            <w:vAlign w:val="center"/>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Compressive strength (AS1478.2 2005):</w:t>
            </w:r>
          </w:p>
        </w:tc>
        <w:tc>
          <w:tcPr>
            <w:tcW w:w="2552"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 xml:space="preserve">65 MPa @ 1 day </w:t>
            </w:r>
          </w:p>
        </w:tc>
      </w:tr>
      <w:tr w:rsidR="00152B71" w:rsidRPr="00152B71" w:rsidTr="00152B71">
        <w:tc>
          <w:tcPr>
            <w:tcW w:w="3998" w:type="dxa"/>
            <w:vMerge/>
          </w:tcPr>
          <w:p w:rsidR="00152B71" w:rsidRPr="00152B71" w:rsidRDefault="00152B71" w:rsidP="00BF0E2D">
            <w:pPr>
              <w:spacing w:before="60" w:after="60" w:line="240" w:lineRule="auto"/>
              <w:rPr>
                <w:rFonts w:ascii="Arial" w:hAnsi="Arial" w:cs="Arial"/>
                <w:sz w:val="18"/>
                <w:szCs w:val="18"/>
                <w:lang w:val="en-GB"/>
              </w:rPr>
            </w:pPr>
          </w:p>
        </w:tc>
        <w:tc>
          <w:tcPr>
            <w:tcW w:w="2552"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85 MPa @ 7 days</w:t>
            </w:r>
          </w:p>
        </w:tc>
      </w:tr>
      <w:tr w:rsidR="00152B71" w:rsidRPr="00152B71" w:rsidTr="00152B71">
        <w:tc>
          <w:tcPr>
            <w:tcW w:w="3998" w:type="dxa"/>
            <w:vMerge/>
          </w:tcPr>
          <w:p w:rsidR="00152B71" w:rsidRPr="00152B71" w:rsidRDefault="00152B71" w:rsidP="00BF0E2D">
            <w:pPr>
              <w:spacing w:before="60" w:after="60" w:line="240" w:lineRule="auto"/>
              <w:rPr>
                <w:rFonts w:ascii="Arial" w:hAnsi="Arial" w:cs="Arial"/>
                <w:sz w:val="18"/>
                <w:szCs w:val="18"/>
                <w:lang w:val="en-GB"/>
              </w:rPr>
            </w:pPr>
          </w:p>
        </w:tc>
        <w:tc>
          <w:tcPr>
            <w:tcW w:w="2552"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90 MPa @ 28 days</w:t>
            </w:r>
          </w:p>
        </w:tc>
        <w:bookmarkStart w:id="1" w:name="_GoBack"/>
        <w:bookmarkEnd w:id="1"/>
      </w:tr>
      <w:tr w:rsidR="00152B71" w:rsidRPr="00152B71" w:rsidTr="00152B71">
        <w:tc>
          <w:tcPr>
            <w:tcW w:w="3998"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Indirect Tensile Strength (AS1012.2.10-2000):</w:t>
            </w:r>
          </w:p>
        </w:tc>
        <w:tc>
          <w:tcPr>
            <w:tcW w:w="2552" w:type="dxa"/>
            <w:vAlign w:val="center"/>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14 MPa @ 28 days</w:t>
            </w:r>
          </w:p>
        </w:tc>
      </w:tr>
      <w:tr w:rsidR="00152B71" w:rsidRPr="00152B71" w:rsidTr="00152B71">
        <w:tc>
          <w:tcPr>
            <w:tcW w:w="3998"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Flexural Strength (AS1012.2.11-2000):</w:t>
            </w:r>
          </w:p>
        </w:tc>
        <w:tc>
          <w:tcPr>
            <w:tcW w:w="2552"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33 MPa @ 28 days</w:t>
            </w:r>
          </w:p>
        </w:tc>
      </w:tr>
      <w:tr w:rsidR="00152B71" w:rsidRPr="00152B71" w:rsidTr="00152B71">
        <w:tc>
          <w:tcPr>
            <w:tcW w:w="3998"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Modulus of Elasticity (AS1020.17-1997):</w:t>
            </w:r>
          </w:p>
        </w:tc>
        <w:tc>
          <w:tcPr>
            <w:tcW w:w="2552"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 xml:space="preserve">16 </w:t>
            </w:r>
            <w:proofErr w:type="spellStart"/>
            <w:r w:rsidRPr="00152B71">
              <w:rPr>
                <w:rFonts w:ascii="Arial" w:hAnsi="Arial" w:cs="Arial"/>
                <w:sz w:val="18"/>
                <w:szCs w:val="18"/>
                <w:lang w:val="en-GB"/>
              </w:rPr>
              <w:t>GPa</w:t>
            </w:r>
            <w:proofErr w:type="spellEnd"/>
          </w:p>
        </w:tc>
      </w:tr>
      <w:tr w:rsidR="00152B71" w:rsidRPr="00152B71" w:rsidTr="00152B71">
        <w:tc>
          <w:tcPr>
            <w:tcW w:w="3998"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Creep 28 days @ 2.8 MPa (ASTM C1181-00):</w:t>
            </w:r>
          </w:p>
        </w:tc>
        <w:tc>
          <w:tcPr>
            <w:tcW w:w="2552"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rPr>
              <w:t>@ 60°C 4.47 x 10</w:t>
            </w:r>
            <w:r w:rsidRPr="00152B71">
              <w:rPr>
                <w:rFonts w:ascii="Arial" w:hAnsi="Arial" w:cs="Arial"/>
                <w:sz w:val="18"/>
                <w:szCs w:val="18"/>
                <w:vertAlign w:val="superscript"/>
              </w:rPr>
              <w:t>-3</w:t>
            </w:r>
            <w:r w:rsidRPr="00152B71">
              <w:rPr>
                <w:rFonts w:ascii="Arial" w:hAnsi="Arial" w:cs="Arial"/>
                <w:sz w:val="18"/>
                <w:szCs w:val="18"/>
              </w:rPr>
              <w:t xml:space="preserve"> cm/cm</w:t>
            </w:r>
          </w:p>
        </w:tc>
      </w:tr>
      <w:tr w:rsidR="00152B71" w:rsidRPr="00152B71" w:rsidTr="00152B71">
        <w:tc>
          <w:tcPr>
            <w:tcW w:w="3998" w:type="dxa"/>
          </w:tcPr>
          <w:p w:rsidR="00152B71" w:rsidRPr="00152B71" w:rsidRDefault="00152B71" w:rsidP="00BF0E2D">
            <w:pPr>
              <w:spacing w:before="60" w:after="60" w:line="240" w:lineRule="auto"/>
              <w:rPr>
                <w:rFonts w:ascii="Arial" w:hAnsi="Arial" w:cs="Arial"/>
                <w:sz w:val="18"/>
                <w:szCs w:val="18"/>
                <w:lang w:val="en-GB"/>
              </w:rPr>
            </w:pPr>
            <w:r w:rsidRPr="00152B71">
              <w:rPr>
                <w:rFonts w:ascii="Arial" w:hAnsi="Arial" w:cs="Arial"/>
                <w:sz w:val="18"/>
                <w:szCs w:val="18"/>
                <w:lang w:val="en-GB"/>
              </w:rPr>
              <w:t>Flow (AS 1478.2)</w:t>
            </w:r>
          </w:p>
        </w:tc>
        <w:tc>
          <w:tcPr>
            <w:tcW w:w="2552" w:type="dxa"/>
          </w:tcPr>
          <w:p w:rsidR="00152B71" w:rsidRPr="00152B71" w:rsidRDefault="00152B71" w:rsidP="00BF0E2D">
            <w:pPr>
              <w:spacing w:before="60" w:after="60" w:line="240" w:lineRule="auto"/>
              <w:rPr>
                <w:rFonts w:ascii="Arial" w:hAnsi="Arial" w:cs="Arial"/>
                <w:sz w:val="18"/>
                <w:szCs w:val="18"/>
              </w:rPr>
            </w:pPr>
            <w:r w:rsidRPr="00152B71">
              <w:rPr>
                <w:rFonts w:ascii="Arial" w:hAnsi="Arial" w:cs="Arial"/>
                <w:sz w:val="18"/>
                <w:szCs w:val="18"/>
              </w:rPr>
              <w:t>500mm</w:t>
            </w:r>
          </w:p>
        </w:tc>
      </w:tr>
    </w:tbl>
    <w:p w:rsidR="00152B71" w:rsidRPr="00152B71" w:rsidRDefault="00152B71" w:rsidP="00152B71">
      <w:pPr>
        <w:spacing w:after="0" w:line="240" w:lineRule="auto"/>
        <w:rPr>
          <w:rFonts w:ascii="Arial" w:hAnsi="Arial" w:cs="Arial"/>
          <w:sz w:val="18"/>
          <w:szCs w:val="18"/>
          <w:lang w:val="en-GB"/>
        </w:rPr>
      </w:pPr>
      <w:r w:rsidRPr="00152B71">
        <w:rPr>
          <w:rFonts w:ascii="Arial" w:hAnsi="Arial" w:cs="Arial"/>
          <w:sz w:val="18"/>
          <w:szCs w:val="18"/>
          <w:lang w:val="en-GB"/>
        </w:rPr>
        <w:tab/>
      </w:r>
      <w:r w:rsidRPr="00152B71">
        <w:rPr>
          <w:rFonts w:ascii="Arial" w:hAnsi="Arial" w:cs="Arial"/>
          <w:sz w:val="18"/>
          <w:szCs w:val="18"/>
          <w:lang w:val="en-GB"/>
        </w:rPr>
        <w:tab/>
      </w:r>
      <w:r w:rsidRPr="00152B71">
        <w:rPr>
          <w:rFonts w:ascii="Arial" w:hAnsi="Arial" w:cs="Arial"/>
          <w:sz w:val="18"/>
          <w:szCs w:val="18"/>
          <w:lang w:val="en-GB"/>
        </w:rPr>
        <w:tab/>
        <w:t xml:space="preserve">                            </w:t>
      </w:r>
    </w:p>
    <w:p w:rsidR="00275B04" w:rsidRPr="00152B71" w:rsidRDefault="00152B71" w:rsidP="00152B71">
      <w:pPr>
        <w:numPr>
          <w:ilvl w:val="1"/>
          <w:numId w:val="1"/>
        </w:numPr>
        <w:spacing w:after="0" w:line="240" w:lineRule="auto"/>
        <w:rPr>
          <w:rFonts w:ascii="Arial" w:hAnsi="Arial" w:cs="Arial"/>
          <w:sz w:val="18"/>
          <w:szCs w:val="18"/>
        </w:rPr>
      </w:pPr>
      <w:r>
        <w:rPr>
          <w:rFonts w:ascii="Arial" w:hAnsi="Arial" w:cs="Arial"/>
          <w:b/>
          <w:sz w:val="18"/>
          <w:szCs w:val="18"/>
          <w:lang w:val="en-GB"/>
        </w:rPr>
        <w:tab/>
      </w:r>
      <w:r w:rsidRPr="00152B71">
        <w:rPr>
          <w:rFonts w:ascii="Arial" w:hAnsi="Arial" w:cs="Arial"/>
          <w:b/>
          <w:sz w:val="18"/>
          <w:szCs w:val="18"/>
          <w:lang w:val="en-GB"/>
        </w:rPr>
        <w:t>Fosroc Conbextra EP300 DP</w:t>
      </w:r>
      <w:r w:rsidRPr="00152B71">
        <w:rPr>
          <w:rFonts w:ascii="Arial" w:hAnsi="Arial" w:cs="Arial"/>
          <w:sz w:val="18"/>
          <w:szCs w:val="18"/>
          <w:lang w:val="en-GB"/>
        </w:rPr>
        <w:t xml:space="preserve"> meets the performance criteria and is approved for this application</w:t>
      </w:r>
    </w:p>
    <w:sectPr w:rsidR="00275B04" w:rsidRPr="00152B71" w:rsidSect="00645E26">
      <w:headerReference w:type="default" r:id="rId7"/>
      <w:footerReference w:type="default" r:id="rId8"/>
      <w:headerReference w:type="first" r:id="rId9"/>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6C8" w:rsidRDefault="000906C8" w:rsidP="00275B04">
      <w:pPr>
        <w:spacing w:after="0" w:line="240" w:lineRule="auto"/>
      </w:pPr>
      <w:r>
        <w:separator/>
      </w:r>
    </w:p>
  </w:endnote>
  <w:endnote w:type="continuationSeparator" w:id="0">
    <w:p w:rsidR="000906C8" w:rsidRDefault="000906C8"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7 Lucca Road, Wyong NSW 2259</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7 Lucca Road, Wyong NSW 2259</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6B003F">
                            <w:rPr>
                              <w:sz w:val="12"/>
                              <w:szCs w:val="12"/>
                            </w:rPr>
                            <w:t>Conbextra</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7"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6B003F">
                      <w:rPr>
                        <w:sz w:val="12"/>
                        <w:szCs w:val="12"/>
                      </w:rPr>
                      <w:t>Conbextra</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t>Apr 2020</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6C8" w:rsidRDefault="000906C8" w:rsidP="00275B04">
      <w:pPr>
        <w:spacing w:after="0" w:line="240" w:lineRule="auto"/>
      </w:pPr>
      <w:bookmarkStart w:id="0" w:name="_Hlk37232099"/>
      <w:bookmarkEnd w:id="0"/>
      <w:r>
        <w:separator/>
      </w:r>
    </w:p>
  </w:footnote>
  <w:footnote w:type="continuationSeparator" w:id="0">
    <w:p w:rsidR="000906C8" w:rsidRDefault="000906C8"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906C8"/>
    <w:rsid w:val="00152B71"/>
    <w:rsid w:val="00191850"/>
    <w:rsid w:val="001E2F14"/>
    <w:rsid w:val="001E5CD1"/>
    <w:rsid w:val="00234E76"/>
    <w:rsid w:val="00275B04"/>
    <w:rsid w:val="00275C04"/>
    <w:rsid w:val="002A63CF"/>
    <w:rsid w:val="002E4BF5"/>
    <w:rsid w:val="002F2E62"/>
    <w:rsid w:val="003259C1"/>
    <w:rsid w:val="003467D7"/>
    <w:rsid w:val="00527B39"/>
    <w:rsid w:val="0061112D"/>
    <w:rsid w:val="00645E26"/>
    <w:rsid w:val="006B003F"/>
    <w:rsid w:val="007032C0"/>
    <w:rsid w:val="00812308"/>
    <w:rsid w:val="00996E5B"/>
    <w:rsid w:val="009B6A16"/>
    <w:rsid w:val="00A17FD3"/>
    <w:rsid w:val="00B83C34"/>
    <w:rsid w:val="00BD7EF7"/>
    <w:rsid w:val="00BF0E2D"/>
    <w:rsid w:val="00CD05F0"/>
    <w:rsid w:val="00D06237"/>
    <w:rsid w:val="00D50130"/>
    <w:rsid w:val="00D644C7"/>
    <w:rsid w:val="00D67B1C"/>
    <w:rsid w:val="00DD28D4"/>
    <w:rsid w:val="00F67288"/>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96AF248714FA428BE941FF65C73899" ma:contentTypeVersion="6" ma:contentTypeDescription="Create a new document." ma:contentTypeScope="" ma:versionID="eeff238baed5fd844c12a6027571fc5a">
  <xsd:schema xmlns:xsd="http://www.w3.org/2001/XMLSchema" xmlns:xs="http://www.w3.org/2001/XMLSchema" xmlns:p="http://schemas.microsoft.com/office/2006/metadata/properties" xmlns:ns2="792e27e7-7cb7-4b09-9bf9-cf976c9468c3" xmlns:ns3="2c76bddd-80c6-4255-88fa-c6fc113732c7" targetNamespace="http://schemas.microsoft.com/office/2006/metadata/properties" ma:root="true" ma:fieldsID="34625c497601677b58f5966ebaa85efe" ns2:_="" ns3:_="">
    <xsd:import namespace="792e27e7-7cb7-4b09-9bf9-cf976c9468c3"/>
    <xsd:import namespace="2c76bddd-80c6-4255-88fa-c6fc113732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e27e7-7cb7-4b09-9bf9-cf976c946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6bddd-80c6-4255-88fa-c6fc113732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48B4D-591E-4640-AA87-F9B324B6CBDF}"/>
</file>

<file path=customXml/itemProps2.xml><?xml version="1.0" encoding="utf-8"?>
<ds:datastoreItem xmlns:ds="http://schemas.openxmlformats.org/officeDocument/2006/customXml" ds:itemID="{E0EE5D8F-85E5-467C-8787-D4A9D3A8897D}"/>
</file>

<file path=customXml/itemProps3.xml><?xml version="1.0" encoding="utf-8"?>
<ds:datastoreItem xmlns:ds="http://schemas.openxmlformats.org/officeDocument/2006/customXml" ds:itemID="{1E250BFA-9049-4088-BD38-ADA8FE730737}"/>
</file>

<file path=docProps/app.xml><?xml version="1.0" encoding="utf-8"?>
<Properties xmlns="http://schemas.openxmlformats.org/officeDocument/2006/extended-properties" xmlns:vt="http://schemas.openxmlformats.org/officeDocument/2006/docPropsVTypes">
  <Template>Spec template 1 page.dotx</Template>
  <TotalTime>2</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4</cp:revision>
  <dcterms:created xsi:type="dcterms:W3CDTF">2020-04-13T23:21:00Z</dcterms:created>
  <dcterms:modified xsi:type="dcterms:W3CDTF">2020-04-14T00:24:00Z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0x0101002796AF248714FA428BE941FF65C73899</vt:lpwstr>
  </property>
</Properties>
</file>