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B003F" w:rsidP="006B003F">
      <w:pPr>
        <w:pStyle w:val="BodyText"/>
        <w:spacing w:after="240"/>
        <w:rPr>
          <w:rFonts w:ascii="Arial Black" w:hAnsi="Arial Black" w:cs="Arial"/>
          <w:sz w:val="36"/>
          <w:szCs w:val="36"/>
        </w:rPr>
      </w:pPr>
      <w:r w:rsidRPr="006B003F">
        <w:rPr>
          <w:rFonts w:ascii="Arial Black" w:hAnsi="Arial Black" w:cs="Arial"/>
          <w:sz w:val="36"/>
          <w:szCs w:val="36"/>
        </w:rPr>
        <w:t>Con</w:t>
      </w:r>
      <w:r w:rsidR="00EA3E97">
        <w:rPr>
          <w:rFonts w:ascii="Arial Black" w:hAnsi="Arial Black" w:cs="Arial"/>
          <w:sz w:val="36"/>
          <w:szCs w:val="36"/>
        </w:rPr>
        <w:t xml:space="preserve">cure </w:t>
      </w:r>
      <w:r w:rsidR="00D201FA">
        <w:rPr>
          <w:rFonts w:ascii="Arial Black" w:hAnsi="Arial Black" w:cs="Arial"/>
          <w:sz w:val="36"/>
          <w:szCs w:val="36"/>
        </w:rPr>
        <w:t>CR</w:t>
      </w:r>
      <w:r w:rsidRPr="006B003F">
        <w:rPr>
          <w:rFonts w:ascii="Arial Black" w:hAnsi="Arial Black" w:cs="Arial"/>
          <w:sz w:val="36"/>
          <w:szCs w:val="36"/>
        </w:rPr>
        <w:t xml:space="preserve"> </w:t>
      </w:r>
    </w:p>
    <w:p w:rsidR="0093782E" w:rsidRPr="00D201FA" w:rsidRDefault="00D201FA" w:rsidP="00234F35">
      <w:pPr>
        <w:spacing w:after="0" w:line="240" w:lineRule="auto"/>
        <w:rPr>
          <w:rFonts w:ascii="Arial" w:hAnsi="Arial" w:cs="Arial"/>
          <w:b/>
          <w:sz w:val="20"/>
          <w:szCs w:val="20"/>
          <w:lang w:val="en-GB"/>
        </w:rPr>
      </w:pPr>
      <w:r w:rsidRPr="00D201FA">
        <w:rPr>
          <w:rFonts w:ascii="Arial" w:hAnsi="Arial" w:cs="Arial"/>
          <w:b/>
          <w:sz w:val="20"/>
          <w:szCs w:val="20"/>
          <w:lang w:val="en-GB"/>
        </w:rPr>
        <w:t xml:space="preserve">Chlorinated rubber based </w:t>
      </w:r>
      <w:r w:rsidR="0093782E" w:rsidRPr="00D201FA">
        <w:rPr>
          <w:rFonts w:ascii="Arial" w:hAnsi="Arial" w:cs="Arial"/>
          <w:b/>
          <w:sz w:val="20"/>
          <w:szCs w:val="20"/>
          <w:lang w:val="en-GB"/>
        </w:rPr>
        <w:t xml:space="preserve">concrete curing compound </w:t>
      </w:r>
    </w:p>
    <w:p w:rsidR="0093782E" w:rsidRDefault="0093782E" w:rsidP="00234F35">
      <w:pPr>
        <w:spacing w:after="0" w:line="240" w:lineRule="auto"/>
        <w:rPr>
          <w:rFonts w:ascii="Arial" w:hAnsi="Arial" w:cs="Arial"/>
          <w:b/>
          <w:sz w:val="18"/>
          <w:szCs w:val="18"/>
          <w:lang w:val="en-GB"/>
        </w:rPr>
      </w:pPr>
    </w:p>
    <w:p w:rsidR="00D201FA" w:rsidRPr="00D201FA" w:rsidRDefault="00D201FA" w:rsidP="00D201FA">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t>Concrete Curing Compound</w:t>
      </w:r>
    </w:p>
    <w:p w:rsidR="00D201FA" w:rsidRPr="00D201FA" w:rsidRDefault="00D201FA" w:rsidP="00D201FA">
      <w:pPr>
        <w:spacing w:after="0"/>
        <w:rPr>
          <w:rFonts w:ascii="Arial" w:hAnsi="Arial" w:cs="Arial"/>
          <w:b/>
          <w:sz w:val="18"/>
          <w:szCs w:val="18"/>
          <w:lang w:val="en-GB"/>
        </w:rPr>
      </w:pPr>
    </w:p>
    <w:p w:rsidR="00D201FA" w:rsidRPr="00D201FA" w:rsidRDefault="00D201FA" w:rsidP="00D201FA">
      <w:pPr>
        <w:spacing w:after="0"/>
        <w:rPr>
          <w:rFonts w:ascii="Arial" w:hAnsi="Arial" w:cs="Arial"/>
          <w:b/>
          <w:sz w:val="18"/>
          <w:szCs w:val="18"/>
          <w:lang w:val="en-GB"/>
        </w:rPr>
      </w:pPr>
      <w:r w:rsidRPr="00D201FA">
        <w:rPr>
          <w:rFonts w:ascii="Arial" w:hAnsi="Arial" w:cs="Arial"/>
          <w:b/>
          <w:sz w:val="18"/>
          <w:szCs w:val="18"/>
          <w:lang w:val="en-GB"/>
        </w:rPr>
        <w:t>1.10</w:t>
      </w:r>
      <w:r w:rsidRPr="00D201FA">
        <w:rPr>
          <w:rFonts w:ascii="Arial" w:hAnsi="Arial" w:cs="Arial"/>
          <w:b/>
          <w:sz w:val="18"/>
          <w:szCs w:val="18"/>
          <w:lang w:val="en-GB"/>
        </w:rPr>
        <w:tab/>
        <w:t>Concrete Surface</w:t>
      </w:r>
    </w:p>
    <w:p w:rsidR="00D201FA" w:rsidRPr="00D201FA" w:rsidRDefault="00D201FA" w:rsidP="00D201FA">
      <w:pPr>
        <w:spacing w:after="0"/>
        <w:rPr>
          <w:rFonts w:ascii="Arial" w:hAnsi="Arial" w:cs="Arial"/>
          <w:sz w:val="18"/>
          <w:szCs w:val="18"/>
          <w:lang w:val="en-GB"/>
        </w:rPr>
      </w:pPr>
    </w:p>
    <w:p w:rsidR="00D201FA" w:rsidRPr="00D201FA" w:rsidRDefault="00D201FA" w:rsidP="00D201FA">
      <w:pPr>
        <w:spacing w:after="0"/>
        <w:rPr>
          <w:rFonts w:ascii="Arial" w:hAnsi="Arial" w:cs="Arial"/>
          <w:sz w:val="18"/>
          <w:szCs w:val="18"/>
          <w:lang w:val="en-GB"/>
        </w:rPr>
      </w:pPr>
      <w:r w:rsidRPr="00D201FA">
        <w:rPr>
          <w:rFonts w:ascii="Arial" w:hAnsi="Arial" w:cs="Arial"/>
          <w:sz w:val="18"/>
          <w:szCs w:val="18"/>
          <w:lang w:val="en-GB"/>
        </w:rPr>
        <w:t>1.11</w:t>
      </w:r>
      <w:r w:rsidRPr="00D201FA">
        <w:rPr>
          <w:rFonts w:ascii="Arial" w:hAnsi="Arial" w:cs="Arial"/>
          <w:sz w:val="18"/>
          <w:szCs w:val="18"/>
          <w:lang w:val="en-GB"/>
        </w:rPr>
        <w:tab/>
        <w:t xml:space="preserve">The curing compound should not be applied to soft, wet concrete or render surfaces which will be </w:t>
      </w:r>
      <w:r>
        <w:rPr>
          <w:rFonts w:ascii="Arial" w:hAnsi="Arial" w:cs="Arial"/>
          <w:sz w:val="18"/>
          <w:szCs w:val="18"/>
          <w:lang w:val="en-GB"/>
        </w:rPr>
        <w:tab/>
      </w:r>
      <w:r w:rsidRPr="00D201FA">
        <w:rPr>
          <w:rFonts w:ascii="Arial" w:hAnsi="Arial" w:cs="Arial"/>
          <w:sz w:val="18"/>
          <w:szCs w:val="18"/>
          <w:lang w:val="en-GB"/>
        </w:rPr>
        <w:t xml:space="preserve">disturbed and prevent formation of the curing film. </w:t>
      </w:r>
    </w:p>
    <w:p w:rsidR="00D201FA" w:rsidRPr="00D201FA" w:rsidRDefault="00D201FA" w:rsidP="00D201FA">
      <w:pPr>
        <w:spacing w:after="0"/>
        <w:rPr>
          <w:rFonts w:ascii="Arial" w:hAnsi="Arial" w:cs="Arial"/>
          <w:sz w:val="18"/>
          <w:szCs w:val="18"/>
          <w:lang w:val="en-GB"/>
        </w:rPr>
      </w:pPr>
    </w:p>
    <w:p w:rsidR="00D201FA" w:rsidRPr="00D201FA" w:rsidRDefault="00D201FA" w:rsidP="00D201FA">
      <w:pPr>
        <w:spacing w:after="0"/>
        <w:rPr>
          <w:rFonts w:ascii="Arial" w:hAnsi="Arial" w:cs="Arial"/>
          <w:sz w:val="18"/>
          <w:szCs w:val="18"/>
          <w:lang w:val="en-GB"/>
        </w:rPr>
      </w:pPr>
      <w:r w:rsidRPr="00D201FA">
        <w:rPr>
          <w:rFonts w:ascii="Arial" w:hAnsi="Arial" w:cs="Arial"/>
          <w:sz w:val="18"/>
          <w:szCs w:val="18"/>
          <w:lang w:val="en-GB"/>
        </w:rPr>
        <w:t>1.12</w:t>
      </w:r>
      <w:r w:rsidRPr="00D201FA">
        <w:rPr>
          <w:rFonts w:ascii="Arial" w:hAnsi="Arial" w:cs="Arial"/>
          <w:sz w:val="18"/>
          <w:szCs w:val="18"/>
          <w:lang w:val="en-GB"/>
        </w:rPr>
        <w:tab/>
        <w:t>To those nominated floor areas requiring a curing compound, ensure the concrete surface is completely</w:t>
      </w:r>
      <w:r>
        <w:rPr>
          <w:rFonts w:ascii="Arial" w:hAnsi="Arial" w:cs="Arial"/>
          <w:sz w:val="18"/>
          <w:szCs w:val="18"/>
          <w:lang w:val="en-GB"/>
        </w:rPr>
        <w:t xml:space="preserve"> </w:t>
      </w:r>
      <w:r>
        <w:rPr>
          <w:rFonts w:ascii="Arial" w:hAnsi="Arial" w:cs="Arial"/>
          <w:sz w:val="18"/>
          <w:szCs w:val="18"/>
          <w:lang w:val="en-GB"/>
        </w:rPr>
        <w:tab/>
      </w:r>
      <w:r w:rsidRPr="00D201FA">
        <w:rPr>
          <w:rFonts w:ascii="Arial" w:hAnsi="Arial" w:cs="Arial"/>
          <w:sz w:val="18"/>
          <w:szCs w:val="18"/>
          <w:lang w:val="en-GB"/>
        </w:rPr>
        <w:t xml:space="preserve">free of stains, oils, form coatings, etc., to obtain good adhesion of the curing compound, and to avoid </w:t>
      </w:r>
      <w:r>
        <w:rPr>
          <w:rFonts w:ascii="Arial" w:hAnsi="Arial" w:cs="Arial"/>
          <w:sz w:val="18"/>
          <w:szCs w:val="18"/>
          <w:lang w:val="en-GB"/>
        </w:rPr>
        <w:tab/>
      </w:r>
      <w:r w:rsidRPr="00D201FA">
        <w:rPr>
          <w:rFonts w:ascii="Arial" w:hAnsi="Arial" w:cs="Arial"/>
          <w:sz w:val="18"/>
          <w:szCs w:val="18"/>
          <w:lang w:val="en-GB"/>
        </w:rPr>
        <w:t xml:space="preserve">obtaining discoloration or uneven surface effects. </w:t>
      </w:r>
    </w:p>
    <w:p w:rsidR="00D201FA" w:rsidRPr="00D201FA" w:rsidRDefault="00D201FA" w:rsidP="00D201FA">
      <w:pPr>
        <w:spacing w:after="0"/>
        <w:rPr>
          <w:rFonts w:ascii="Arial" w:hAnsi="Arial" w:cs="Arial"/>
          <w:sz w:val="18"/>
          <w:szCs w:val="18"/>
          <w:lang w:val="en-GB"/>
        </w:rPr>
      </w:pPr>
    </w:p>
    <w:p w:rsidR="00D201FA" w:rsidRPr="00D201FA" w:rsidRDefault="00D201FA" w:rsidP="00D201FA">
      <w:pPr>
        <w:spacing w:after="0"/>
        <w:rPr>
          <w:rFonts w:ascii="Arial" w:hAnsi="Arial" w:cs="Arial"/>
          <w:b/>
          <w:sz w:val="18"/>
          <w:szCs w:val="18"/>
          <w:lang w:val="en-GB"/>
        </w:rPr>
      </w:pPr>
      <w:r w:rsidRPr="00D201FA">
        <w:rPr>
          <w:rFonts w:ascii="Arial" w:hAnsi="Arial" w:cs="Arial"/>
          <w:b/>
          <w:sz w:val="18"/>
          <w:szCs w:val="18"/>
          <w:lang w:val="en-GB"/>
        </w:rPr>
        <w:t>1.20</w:t>
      </w:r>
      <w:r w:rsidRPr="00D201FA">
        <w:rPr>
          <w:rFonts w:ascii="Arial" w:hAnsi="Arial" w:cs="Arial"/>
          <w:b/>
          <w:sz w:val="18"/>
          <w:szCs w:val="18"/>
          <w:lang w:val="en-GB"/>
        </w:rPr>
        <w:tab/>
        <w:t>Curing Compound</w:t>
      </w:r>
    </w:p>
    <w:p w:rsidR="00D201FA" w:rsidRPr="00D201FA" w:rsidRDefault="00D201FA" w:rsidP="00D201FA">
      <w:pPr>
        <w:spacing w:after="0"/>
        <w:rPr>
          <w:rFonts w:ascii="Arial" w:hAnsi="Arial" w:cs="Arial"/>
          <w:sz w:val="18"/>
          <w:szCs w:val="18"/>
          <w:lang w:val="en-GB"/>
        </w:rPr>
      </w:pPr>
    </w:p>
    <w:p w:rsidR="00D201FA" w:rsidRPr="00D201FA" w:rsidRDefault="00D201FA" w:rsidP="00D201FA">
      <w:pPr>
        <w:spacing w:after="0"/>
        <w:rPr>
          <w:rFonts w:ascii="Arial" w:hAnsi="Arial" w:cs="Arial"/>
          <w:sz w:val="18"/>
          <w:szCs w:val="18"/>
          <w:lang w:val="en-GB"/>
        </w:rPr>
      </w:pPr>
      <w:r w:rsidRPr="00D201FA">
        <w:rPr>
          <w:rFonts w:ascii="Arial" w:hAnsi="Arial" w:cs="Arial"/>
          <w:sz w:val="18"/>
          <w:szCs w:val="18"/>
          <w:lang w:val="en-GB"/>
        </w:rPr>
        <w:t>1.21</w:t>
      </w:r>
      <w:r w:rsidRPr="00D201FA">
        <w:rPr>
          <w:rFonts w:ascii="Arial" w:hAnsi="Arial" w:cs="Arial"/>
          <w:sz w:val="18"/>
          <w:szCs w:val="18"/>
          <w:lang w:val="en-GB"/>
        </w:rPr>
        <w:tab/>
        <w:t xml:space="preserve">The curing compound is to be applied evenly over the freshly laid concrete as soon as possible after </w:t>
      </w:r>
      <w:r>
        <w:rPr>
          <w:rFonts w:ascii="Arial" w:hAnsi="Arial" w:cs="Arial"/>
          <w:sz w:val="18"/>
          <w:szCs w:val="18"/>
          <w:lang w:val="en-GB"/>
        </w:rPr>
        <w:tab/>
      </w:r>
      <w:r w:rsidRPr="00D201FA">
        <w:rPr>
          <w:rFonts w:ascii="Arial" w:hAnsi="Arial" w:cs="Arial"/>
          <w:sz w:val="18"/>
          <w:szCs w:val="18"/>
          <w:lang w:val="en-GB"/>
        </w:rPr>
        <w:t xml:space="preserve">final trowelling, just after the disappearance of the surface bleed water for maximum water retention, </w:t>
      </w:r>
      <w:r>
        <w:rPr>
          <w:rFonts w:ascii="Arial" w:hAnsi="Arial" w:cs="Arial"/>
          <w:sz w:val="18"/>
          <w:szCs w:val="18"/>
          <w:lang w:val="en-GB"/>
        </w:rPr>
        <w:tab/>
      </w:r>
      <w:r w:rsidRPr="00D201FA">
        <w:rPr>
          <w:rFonts w:ascii="Arial" w:hAnsi="Arial" w:cs="Arial"/>
          <w:sz w:val="18"/>
          <w:szCs w:val="18"/>
          <w:lang w:val="en-GB"/>
        </w:rPr>
        <w:t xml:space="preserve">(approximately 1-2 hours depending on the ambient temperature and atmospheric conditions) strictly in </w:t>
      </w:r>
      <w:r>
        <w:rPr>
          <w:rFonts w:ascii="Arial" w:hAnsi="Arial" w:cs="Arial"/>
          <w:sz w:val="18"/>
          <w:szCs w:val="18"/>
          <w:lang w:val="en-GB"/>
        </w:rPr>
        <w:tab/>
      </w:r>
      <w:r w:rsidRPr="00D201FA">
        <w:rPr>
          <w:rFonts w:ascii="Arial" w:hAnsi="Arial" w:cs="Arial"/>
          <w:sz w:val="18"/>
          <w:szCs w:val="18"/>
          <w:lang w:val="en-GB"/>
        </w:rPr>
        <w:t>accordance with the manufacturer’s instructions and current technical data sheet.</w:t>
      </w:r>
    </w:p>
    <w:p w:rsidR="00D201FA" w:rsidRPr="00D201FA" w:rsidRDefault="00D201FA" w:rsidP="00D201FA">
      <w:pPr>
        <w:spacing w:after="0"/>
        <w:rPr>
          <w:rFonts w:ascii="Arial" w:hAnsi="Arial" w:cs="Arial"/>
          <w:sz w:val="18"/>
          <w:szCs w:val="18"/>
          <w:lang w:val="en-GB"/>
        </w:rPr>
      </w:pPr>
    </w:p>
    <w:p w:rsidR="00D201FA" w:rsidRPr="00D201FA" w:rsidRDefault="00D201FA" w:rsidP="00D201FA">
      <w:pPr>
        <w:spacing w:after="0"/>
        <w:rPr>
          <w:rFonts w:ascii="Arial" w:hAnsi="Arial" w:cs="Arial"/>
          <w:sz w:val="18"/>
          <w:szCs w:val="18"/>
          <w:lang w:val="en-GB"/>
        </w:rPr>
      </w:pPr>
      <w:r w:rsidRPr="00D201FA">
        <w:rPr>
          <w:rFonts w:ascii="Arial" w:hAnsi="Arial" w:cs="Arial"/>
          <w:sz w:val="18"/>
          <w:szCs w:val="18"/>
          <w:lang w:val="en-GB"/>
        </w:rPr>
        <w:t>1.22</w:t>
      </w:r>
      <w:r w:rsidRPr="00D201FA">
        <w:rPr>
          <w:rFonts w:ascii="Arial" w:hAnsi="Arial" w:cs="Arial"/>
          <w:sz w:val="18"/>
          <w:szCs w:val="18"/>
          <w:lang w:val="en-GB"/>
        </w:rPr>
        <w:tab/>
        <w:t xml:space="preserve">The curing compound is to be based on chlorinated rubber. All designated areas are to have a liquid </w:t>
      </w:r>
      <w:r>
        <w:rPr>
          <w:rFonts w:ascii="Arial" w:hAnsi="Arial" w:cs="Arial"/>
          <w:sz w:val="18"/>
          <w:szCs w:val="18"/>
          <w:lang w:val="en-GB"/>
        </w:rPr>
        <w:tab/>
      </w:r>
      <w:r w:rsidRPr="00D201FA">
        <w:rPr>
          <w:rFonts w:ascii="Arial" w:hAnsi="Arial" w:cs="Arial"/>
          <w:sz w:val="18"/>
          <w:szCs w:val="18"/>
          <w:lang w:val="en-GB"/>
        </w:rPr>
        <w:t xml:space="preserve">curing compound applied in a single coat to achieve a total dry film thickness of not less than 35 </w:t>
      </w:r>
      <w:r>
        <w:rPr>
          <w:rFonts w:ascii="Arial" w:hAnsi="Arial" w:cs="Arial"/>
          <w:sz w:val="18"/>
          <w:szCs w:val="18"/>
          <w:lang w:val="en-GB"/>
        </w:rPr>
        <w:tab/>
      </w:r>
      <w:r w:rsidRPr="00D201FA">
        <w:rPr>
          <w:rFonts w:ascii="Arial" w:hAnsi="Arial" w:cs="Arial"/>
          <w:sz w:val="18"/>
          <w:szCs w:val="18"/>
          <w:lang w:val="en-GB"/>
        </w:rPr>
        <w:t>microns. The curing compound is to provide the following properties:</w:t>
      </w:r>
    </w:p>
    <w:p w:rsidR="00D201FA" w:rsidRPr="00D201FA" w:rsidRDefault="00D201FA" w:rsidP="00D201FA">
      <w:pPr>
        <w:spacing w:after="0"/>
        <w:rPr>
          <w:rFonts w:ascii="Arial" w:hAnsi="Arial" w:cs="Arial"/>
          <w:sz w:val="18"/>
          <w:szCs w:val="18"/>
          <w:lang w:val="en-GB"/>
        </w:rPr>
      </w:pPr>
      <w:r w:rsidRPr="00D201FA">
        <w:rPr>
          <w:rFonts w:ascii="Arial" w:hAnsi="Arial" w:cs="Arial"/>
          <w:sz w:val="18"/>
          <w:szCs w:val="18"/>
          <w:lang w:val="en-GB"/>
        </w:rPr>
        <w:tab/>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163"/>
      </w:tblGrid>
      <w:tr w:rsidR="00D201FA" w:rsidRPr="00D201FA" w:rsidTr="00D201FA">
        <w:tc>
          <w:tcPr>
            <w:tcW w:w="3231" w:type="dxa"/>
          </w:tcPr>
          <w:p w:rsidR="00D201FA" w:rsidRPr="00D201FA" w:rsidRDefault="00D201FA" w:rsidP="00D201FA">
            <w:pPr>
              <w:spacing w:before="60" w:after="60"/>
              <w:rPr>
                <w:rFonts w:ascii="Arial" w:hAnsi="Arial" w:cs="Arial"/>
                <w:sz w:val="18"/>
                <w:szCs w:val="18"/>
                <w:lang w:val="en-GB"/>
              </w:rPr>
            </w:pPr>
            <w:r w:rsidRPr="00D201FA">
              <w:rPr>
                <w:rFonts w:ascii="Arial" w:hAnsi="Arial" w:cs="Arial"/>
                <w:sz w:val="18"/>
                <w:szCs w:val="18"/>
                <w:lang w:val="en-GB"/>
              </w:rPr>
              <w:t>Volume solids content:</w:t>
            </w:r>
          </w:p>
        </w:tc>
        <w:tc>
          <w:tcPr>
            <w:tcW w:w="1163" w:type="dxa"/>
          </w:tcPr>
          <w:p w:rsidR="00D201FA" w:rsidRPr="00D201FA" w:rsidRDefault="002D606F" w:rsidP="00D201FA">
            <w:pPr>
              <w:spacing w:before="60" w:after="60"/>
              <w:rPr>
                <w:rFonts w:ascii="Arial" w:hAnsi="Arial" w:cs="Arial"/>
                <w:sz w:val="18"/>
                <w:szCs w:val="18"/>
                <w:lang w:val="en-GB"/>
              </w:rPr>
            </w:pPr>
            <w:r>
              <w:rPr>
                <w:rFonts w:ascii="Arial" w:hAnsi="Arial" w:cs="Arial"/>
                <w:sz w:val="18"/>
                <w:szCs w:val="18"/>
                <w:lang w:val="en-GB"/>
              </w:rPr>
              <w:t>&gt;</w:t>
            </w:r>
            <w:r w:rsidR="00D201FA" w:rsidRPr="00D201FA">
              <w:rPr>
                <w:rFonts w:ascii="Arial" w:hAnsi="Arial" w:cs="Arial"/>
                <w:sz w:val="18"/>
                <w:szCs w:val="18"/>
                <w:lang w:val="en-GB"/>
              </w:rPr>
              <w:t>1</w:t>
            </w:r>
            <w:r>
              <w:rPr>
                <w:rFonts w:ascii="Arial" w:hAnsi="Arial" w:cs="Arial"/>
                <w:sz w:val="18"/>
                <w:szCs w:val="18"/>
                <w:lang w:val="en-GB"/>
              </w:rPr>
              <w:t>8</w:t>
            </w:r>
            <w:r w:rsidR="00D201FA" w:rsidRPr="00D201FA">
              <w:rPr>
                <w:rFonts w:ascii="Arial" w:hAnsi="Arial" w:cs="Arial"/>
                <w:sz w:val="18"/>
                <w:szCs w:val="18"/>
                <w:lang w:val="en-GB"/>
              </w:rPr>
              <w:t>%</w:t>
            </w:r>
          </w:p>
        </w:tc>
      </w:tr>
      <w:tr w:rsidR="00D201FA" w:rsidRPr="00D201FA" w:rsidTr="00D201FA">
        <w:tc>
          <w:tcPr>
            <w:tcW w:w="3231" w:type="dxa"/>
          </w:tcPr>
          <w:p w:rsidR="00D201FA" w:rsidRPr="00D201FA" w:rsidRDefault="00D201FA" w:rsidP="00D201FA">
            <w:pPr>
              <w:spacing w:before="60" w:after="60"/>
              <w:rPr>
                <w:rFonts w:ascii="Arial" w:hAnsi="Arial" w:cs="Arial"/>
                <w:sz w:val="18"/>
                <w:szCs w:val="18"/>
                <w:lang w:val="en-GB"/>
              </w:rPr>
            </w:pPr>
            <w:r w:rsidRPr="00D201FA">
              <w:rPr>
                <w:rFonts w:ascii="Arial" w:hAnsi="Arial" w:cs="Arial"/>
                <w:sz w:val="18"/>
                <w:szCs w:val="18"/>
                <w:lang w:val="en-GB"/>
              </w:rPr>
              <w:t>Water retention efficiency AS3799:</w:t>
            </w:r>
          </w:p>
        </w:tc>
        <w:tc>
          <w:tcPr>
            <w:tcW w:w="1163" w:type="dxa"/>
          </w:tcPr>
          <w:p w:rsidR="00D201FA" w:rsidRPr="00D201FA" w:rsidRDefault="00D201FA" w:rsidP="00D201FA">
            <w:pPr>
              <w:spacing w:before="60" w:after="60"/>
              <w:rPr>
                <w:rFonts w:ascii="Arial" w:hAnsi="Arial" w:cs="Arial"/>
                <w:sz w:val="18"/>
                <w:szCs w:val="18"/>
                <w:lang w:val="en-GB"/>
              </w:rPr>
            </w:pPr>
            <w:r w:rsidRPr="00D201FA">
              <w:rPr>
                <w:rFonts w:ascii="Arial" w:hAnsi="Arial" w:cs="Arial"/>
                <w:sz w:val="18"/>
                <w:szCs w:val="18"/>
                <w:lang w:val="en-GB"/>
              </w:rPr>
              <w:t>&gt;90%</w:t>
            </w:r>
          </w:p>
        </w:tc>
      </w:tr>
    </w:tbl>
    <w:p w:rsidR="00D201FA" w:rsidRPr="00D201FA" w:rsidRDefault="00D201FA" w:rsidP="00D201FA">
      <w:pPr>
        <w:spacing w:after="0"/>
        <w:rPr>
          <w:rFonts w:ascii="Arial" w:hAnsi="Arial" w:cs="Arial"/>
          <w:sz w:val="18"/>
          <w:szCs w:val="18"/>
          <w:lang w:val="en-GB"/>
        </w:rPr>
      </w:pPr>
    </w:p>
    <w:p w:rsidR="00D201FA" w:rsidRPr="00D201FA" w:rsidRDefault="00D201FA" w:rsidP="00D201FA">
      <w:pPr>
        <w:spacing w:after="0"/>
        <w:rPr>
          <w:rFonts w:ascii="Arial" w:hAnsi="Arial" w:cs="Arial"/>
          <w:sz w:val="18"/>
          <w:szCs w:val="18"/>
        </w:rPr>
      </w:pPr>
      <w:r w:rsidRPr="00D201FA">
        <w:rPr>
          <w:rFonts w:ascii="Arial" w:hAnsi="Arial" w:cs="Arial"/>
          <w:b/>
          <w:sz w:val="18"/>
          <w:szCs w:val="18"/>
        </w:rPr>
        <w:t>1.30</w:t>
      </w:r>
      <w:r>
        <w:rPr>
          <w:rFonts w:ascii="Arial" w:hAnsi="Arial" w:cs="Arial"/>
          <w:sz w:val="18"/>
          <w:szCs w:val="18"/>
        </w:rPr>
        <w:tab/>
      </w:r>
      <w:r w:rsidRPr="00D201FA">
        <w:rPr>
          <w:rFonts w:ascii="Arial" w:hAnsi="Arial" w:cs="Arial"/>
          <w:b/>
          <w:sz w:val="18"/>
          <w:szCs w:val="18"/>
        </w:rPr>
        <w:t>Fosroc Concure CR</w:t>
      </w:r>
      <w:r w:rsidRPr="00D201FA">
        <w:rPr>
          <w:rFonts w:ascii="Arial" w:hAnsi="Arial" w:cs="Arial"/>
          <w:sz w:val="18"/>
          <w:szCs w:val="18"/>
        </w:rPr>
        <w:t xml:space="preserve"> meets the p</w:t>
      </w:r>
      <w:r>
        <w:rPr>
          <w:rFonts w:ascii="Arial" w:hAnsi="Arial" w:cs="Arial"/>
          <w:sz w:val="18"/>
          <w:szCs w:val="18"/>
        </w:rPr>
        <w:t>erformance</w:t>
      </w:r>
      <w:r w:rsidRPr="00D201FA">
        <w:rPr>
          <w:rFonts w:ascii="Arial" w:hAnsi="Arial" w:cs="Arial"/>
          <w:sz w:val="18"/>
          <w:szCs w:val="18"/>
        </w:rPr>
        <w:t xml:space="preserve"> criteria and is approved.</w:t>
      </w:r>
    </w:p>
    <w:p w:rsidR="00275B04" w:rsidRPr="000D2EBF" w:rsidRDefault="00275B04" w:rsidP="00EA3E97">
      <w:pPr>
        <w:spacing w:after="120" w:line="240" w:lineRule="auto"/>
        <w:rPr>
          <w:rFonts w:ascii="Arial" w:hAnsi="Arial" w:cs="Arial"/>
          <w:sz w:val="18"/>
          <w:szCs w:val="18"/>
          <w:lang w:val="en-GB"/>
        </w:rPr>
      </w:pPr>
      <w:bookmarkStart w:id="1" w:name="_GoBack"/>
      <w:bookmarkEnd w:id="1"/>
    </w:p>
    <w:sectPr w:rsidR="00275B04" w:rsidRPr="000D2EBF"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395" w:rsidRDefault="00BD1395" w:rsidP="00275B04">
      <w:pPr>
        <w:spacing w:after="0" w:line="240" w:lineRule="auto"/>
      </w:pPr>
      <w:r>
        <w:separator/>
      </w:r>
    </w:p>
  </w:endnote>
  <w:endnote w:type="continuationSeparator" w:id="0">
    <w:p w:rsidR="00BD1395" w:rsidRDefault="00BD1395"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2D606F"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2D606F"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w:t>
                          </w:r>
                          <w:r w:rsidR="00EA3E97">
                            <w:rPr>
                              <w:sz w:val="12"/>
                              <w:szCs w:val="12"/>
                            </w:rPr>
                            <w:t>cure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7"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proofErr w:type="spellStart"/>
                    <w:r w:rsidR="006B003F">
                      <w:rPr>
                        <w:sz w:val="12"/>
                        <w:szCs w:val="12"/>
                      </w:rPr>
                      <w:t>Con</w:t>
                    </w:r>
                    <w:r w:rsidR="00EA3E97">
                      <w:rPr>
                        <w:sz w:val="12"/>
                        <w:szCs w:val="12"/>
                      </w:rPr>
                      <w:t>cure</w:t>
                    </w:r>
                    <w:proofErr w:type="spellEnd"/>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2D606F">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395" w:rsidRDefault="00BD1395" w:rsidP="00275B04">
      <w:pPr>
        <w:spacing w:after="0" w:line="240" w:lineRule="auto"/>
      </w:pPr>
      <w:bookmarkStart w:id="0" w:name="_Hlk37232099"/>
      <w:bookmarkEnd w:id="0"/>
      <w:r>
        <w:separator/>
      </w:r>
    </w:p>
  </w:footnote>
  <w:footnote w:type="continuationSeparator" w:id="0">
    <w:p w:rsidR="00BD1395" w:rsidRDefault="00BD1395"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D83"/>
    <w:multiLevelType w:val="multilevel"/>
    <w:tmpl w:val="9078E27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F2B45AB"/>
    <w:multiLevelType w:val="multilevel"/>
    <w:tmpl w:val="6BC4C684"/>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605D90"/>
    <w:multiLevelType w:val="multilevel"/>
    <w:tmpl w:val="60E6BE72"/>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5C57C6"/>
    <w:multiLevelType w:val="multilevel"/>
    <w:tmpl w:val="6BC4C684"/>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B07E54"/>
    <w:multiLevelType w:val="multilevel"/>
    <w:tmpl w:val="9078E27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4"/>
  </w:num>
  <w:num w:numId="2">
    <w:abstractNumId w:val="7"/>
  </w:num>
  <w:num w:numId="3">
    <w:abstractNumId w:val="6"/>
  </w:num>
  <w:num w:numId="4">
    <w:abstractNumId w:val="3"/>
  </w:num>
  <w:num w:numId="5">
    <w:abstractNumId w:val="1"/>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010E0"/>
    <w:rsid w:val="000C47C9"/>
    <w:rsid w:val="000C52EE"/>
    <w:rsid w:val="000D2EBF"/>
    <w:rsid w:val="00152B71"/>
    <w:rsid w:val="00191850"/>
    <w:rsid w:val="001E2F14"/>
    <w:rsid w:val="001E5CD1"/>
    <w:rsid w:val="001F2326"/>
    <w:rsid w:val="002145B0"/>
    <w:rsid w:val="00234E76"/>
    <w:rsid w:val="00234F35"/>
    <w:rsid w:val="00275B04"/>
    <w:rsid w:val="00275C04"/>
    <w:rsid w:val="002A63CF"/>
    <w:rsid w:val="002D606F"/>
    <w:rsid w:val="002F2E62"/>
    <w:rsid w:val="00322743"/>
    <w:rsid w:val="003259C1"/>
    <w:rsid w:val="00332880"/>
    <w:rsid w:val="003467D7"/>
    <w:rsid w:val="00350981"/>
    <w:rsid w:val="003A4732"/>
    <w:rsid w:val="003B214C"/>
    <w:rsid w:val="004534A0"/>
    <w:rsid w:val="004832A1"/>
    <w:rsid w:val="00487D1B"/>
    <w:rsid w:val="004C0DA0"/>
    <w:rsid w:val="00527B39"/>
    <w:rsid w:val="005438A1"/>
    <w:rsid w:val="00586E0B"/>
    <w:rsid w:val="005B2FBF"/>
    <w:rsid w:val="00600A5E"/>
    <w:rsid w:val="0061112D"/>
    <w:rsid w:val="006309F3"/>
    <w:rsid w:val="00644C6D"/>
    <w:rsid w:val="00645E26"/>
    <w:rsid w:val="0068744C"/>
    <w:rsid w:val="00687EBA"/>
    <w:rsid w:val="006B003F"/>
    <w:rsid w:val="007032C0"/>
    <w:rsid w:val="00714BD2"/>
    <w:rsid w:val="007751BC"/>
    <w:rsid w:val="007D41F5"/>
    <w:rsid w:val="00812308"/>
    <w:rsid w:val="00863C50"/>
    <w:rsid w:val="008A7B6F"/>
    <w:rsid w:val="0093782E"/>
    <w:rsid w:val="00996E5B"/>
    <w:rsid w:val="009B3F73"/>
    <w:rsid w:val="009B6A16"/>
    <w:rsid w:val="00A03ED5"/>
    <w:rsid w:val="00A17FD3"/>
    <w:rsid w:val="00A2611D"/>
    <w:rsid w:val="00B408DB"/>
    <w:rsid w:val="00B83C34"/>
    <w:rsid w:val="00BD1395"/>
    <w:rsid w:val="00BD7EF7"/>
    <w:rsid w:val="00C05CEB"/>
    <w:rsid w:val="00CD05F0"/>
    <w:rsid w:val="00D06237"/>
    <w:rsid w:val="00D201FA"/>
    <w:rsid w:val="00D50130"/>
    <w:rsid w:val="00D644C7"/>
    <w:rsid w:val="00D67B1C"/>
    <w:rsid w:val="00DD28D4"/>
    <w:rsid w:val="00DE688D"/>
    <w:rsid w:val="00E148DC"/>
    <w:rsid w:val="00E51C3E"/>
    <w:rsid w:val="00E526ED"/>
    <w:rsid w:val="00E778ED"/>
    <w:rsid w:val="00EA3E97"/>
    <w:rsid w:val="00EA48C3"/>
    <w:rsid w:val="00ED533F"/>
    <w:rsid w:val="00EF1BCB"/>
    <w:rsid w:val="00F13073"/>
    <w:rsid w:val="00F135EB"/>
    <w:rsid w:val="00F67288"/>
    <w:rsid w:val="00F778B6"/>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B7F63"/>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32CB5-E7F9-4C85-A699-6F77DA79E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BB094-C9C3-4B44-AAF4-40866FF770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02EF1-D5F4-4DB2-AE24-49ACB7E38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3</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3</cp:revision>
  <dcterms:created xsi:type="dcterms:W3CDTF">2020-04-14T02:28:00Z</dcterms:created>
  <dcterms:modified xsi:type="dcterms:W3CDTF">2022-02-27T22:50:00Z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